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84A" w:rsidRPr="0026084A" w:rsidRDefault="0026084A" w:rsidP="0026084A">
      <w:pPr>
        <w:autoSpaceDE w:val="0"/>
        <w:autoSpaceDN w:val="0"/>
        <w:adjustRightInd w:val="0"/>
        <w:spacing w:before="120" w:after="120" w:line="240" w:lineRule="auto"/>
        <w:ind w:firstLine="709"/>
        <w:jc w:val="center"/>
        <w:rPr>
          <w:rFonts w:ascii="Times New Roman" w:eastAsia="Times New Roman" w:hAnsi="Times New Roman" w:cs="Times New Roman"/>
          <w:sz w:val="40"/>
          <w:szCs w:val="40"/>
        </w:rPr>
      </w:pPr>
      <w:r w:rsidRPr="0026084A">
        <w:rPr>
          <w:rFonts w:ascii="Times New Roman" w:eastAsia="Times New Roman" w:hAnsi="Times New Roman" w:cs="Times New Roman"/>
          <w:b/>
          <w:bCs/>
          <w:sz w:val="40"/>
          <w:szCs w:val="40"/>
        </w:rPr>
        <w:t>5. Thủ tục thẩm định giá bán, thuê mua, thê nhà ở xã hội được đầu tư xây dựng theo dự án bằng nguồn vốn ngoài ngân sách nhà nước trên phạm vi địa bàn tỉnh Hậu Giang.</w:t>
      </w:r>
    </w:p>
    <w:p w:rsidR="0026084A" w:rsidRPr="0026084A" w:rsidRDefault="0026084A" w:rsidP="0026084A">
      <w:pPr>
        <w:autoSpaceDE w:val="0"/>
        <w:autoSpaceDN w:val="0"/>
        <w:adjustRightInd w:val="0"/>
        <w:spacing w:before="120" w:after="120" w:line="240" w:lineRule="auto"/>
        <w:ind w:firstLine="720"/>
        <w:jc w:val="both"/>
        <w:rPr>
          <w:rFonts w:ascii="Times New Roman" w:eastAsia="Times New Roman" w:hAnsi="Times New Roman" w:cs="Times New Roman"/>
          <w:b/>
          <w:bCs/>
          <w:i/>
          <w:iCs/>
          <w:sz w:val="28"/>
          <w:szCs w:val="28"/>
        </w:rPr>
      </w:pPr>
    </w:p>
    <w:p w:rsidR="0026084A" w:rsidRPr="0026084A" w:rsidRDefault="0026084A" w:rsidP="0026084A">
      <w:pPr>
        <w:autoSpaceDE w:val="0"/>
        <w:autoSpaceDN w:val="0"/>
        <w:adjustRightInd w:val="0"/>
        <w:spacing w:before="120" w:after="120" w:line="240" w:lineRule="auto"/>
        <w:ind w:firstLine="720"/>
        <w:jc w:val="both"/>
        <w:rPr>
          <w:rFonts w:ascii="Times New Roman" w:eastAsia="Times New Roman" w:hAnsi="Times New Roman" w:cs="Times New Roman"/>
          <w:sz w:val="28"/>
          <w:szCs w:val="28"/>
        </w:rPr>
      </w:pPr>
      <w:r w:rsidRPr="0026084A">
        <w:rPr>
          <w:rFonts w:ascii="Times New Roman" w:eastAsia="Times New Roman" w:hAnsi="Times New Roman" w:cs="Times New Roman"/>
          <w:b/>
          <w:bCs/>
          <w:i/>
          <w:iCs/>
          <w:sz w:val="28"/>
          <w:szCs w:val="28"/>
        </w:rPr>
        <w:t xml:space="preserve">5.1. Trình tự thực hiện: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sz w:val="28"/>
          <w:szCs w:val="28"/>
        </w:rPr>
        <w:t xml:space="preserve">- Chủ đầu tư xây dựng giá bán, giá cho thuê, giá cho thuê mua nhà ở xã hội do mình đầu tư xây dựng để trình Ủy ban nhân dân tỉnh Hậu Giang tổ chức thẩm định. Trường hợp chủ đầu tư đã hoàn thành xong việc xây dựng nhà ở xã hội và đã được kiểm toán về chi phí của dự án theo quy định thì Ủy ban nhân dân tỉnh căn cứ vào báo cáo kiểm toán để thẩm định giá bán, giá cho thuê, giá cho thuê mua nhà ở xã hội của dự án.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sz w:val="28"/>
          <w:szCs w:val="28"/>
        </w:rPr>
        <w:t xml:space="preserve">- Ủy ban nhân dân tỉnh giao Sở Xây dựng hoặc cơ quan có chức năng thẩm định giá của tỉnh thực hiện việc thẩm định giá bán, giá cho thuê, giá cho thuê mua nhà ở xã hội do chủ đầu tư đề nghị.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sz w:val="28"/>
          <w:szCs w:val="28"/>
        </w:rPr>
        <w:t>- Trong thời hạn 30 ngày, kể từ ngày nhận được Hồ sơ hợp lệ đề nghị thẩm định giá của chủ đầu tư, cơ quan được giao thẩm định giá có trách nhiệm tổ chức thẩm định và có văn bản thông báo kết quả thẩm định cho chủ đầu tư, trong đó nêu rõ các nội dung đồng ý và nội dung cần chỉnh sửa (nếu có).</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sz w:val="28"/>
          <w:szCs w:val="28"/>
        </w:rPr>
        <w:t xml:space="preserve">- Căn cứ văn bản thông báo kết quả thẩm định, chủ đầu tư ban hành giá bán, giá cho thuê, giá cho thuê mua nhà ở xã hội của dự án trên nguyên tắc không được cao hơn giá đã được thẩm định. </w:t>
      </w:r>
    </w:p>
    <w:p w:rsidR="007A0775" w:rsidRDefault="0026084A" w:rsidP="007A0775">
      <w:pPr>
        <w:spacing w:before="120" w:after="120" w:line="240" w:lineRule="auto"/>
        <w:ind w:firstLine="720"/>
        <w:jc w:val="both"/>
        <w:rPr>
          <w:rFonts w:ascii="Times New Roman" w:eastAsia="Times New Roman" w:hAnsi="Times New Roman" w:cs="Times New Roman"/>
          <w:b/>
          <w:bCs/>
          <w:i/>
          <w:iCs/>
          <w:sz w:val="28"/>
          <w:szCs w:val="28"/>
        </w:rPr>
      </w:pPr>
      <w:r w:rsidRPr="0026084A">
        <w:rPr>
          <w:rFonts w:ascii="Times New Roman" w:eastAsia="Times New Roman" w:hAnsi="Times New Roman" w:cs="Times New Roman"/>
          <w:b/>
          <w:bCs/>
          <w:i/>
          <w:iCs/>
          <w:sz w:val="28"/>
          <w:szCs w:val="28"/>
        </w:rPr>
        <w:t xml:space="preserve">5.2. Cách thức thực hiện: </w:t>
      </w:r>
    </w:p>
    <w:p w:rsidR="007A0775" w:rsidRPr="007A0775" w:rsidRDefault="007A0775" w:rsidP="007A0775">
      <w:pPr>
        <w:autoSpaceDE w:val="0"/>
        <w:autoSpaceDN w:val="0"/>
        <w:adjustRightInd w:val="0"/>
        <w:spacing w:after="0" w:line="240" w:lineRule="auto"/>
        <w:ind w:firstLine="720"/>
        <w:jc w:val="both"/>
        <w:rPr>
          <w:rFonts w:ascii="Times New Roman" w:eastAsia="Calibri" w:hAnsi="Times New Roman" w:cs="Times New Roman"/>
          <w:sz w:val="28"/>
          <w:szCs w:val="28"/>
        </w:rPr>
      </w:pPr>
      <w:r w:rsidRPr="007A0775">
        <w:rPr>
          <w:rFonts w:ascii="Times New Roman" w:eastAsia="Calibri" w:hAnsi="Times New Roman" w:cs="Times New Roman"/>
          <w:sz w:val="28"/>
          <w:szCs w:val="28"/>
        </w:rPr>
        <w:t xml:space="preserve">Gửi hồ sơ trực tiếp hoặc gửi qua đường bưu điện đến Trung tâm Hành chính công tỉnh Hậu Giang </w:t>
      </w:r>
      <w:r w:rsidRPr="007A0775">
        <w:rPr>
          <w:rFonts w:ascii="Times New Roman" w:eastAsia="Calibri" w:hAnsi="Times New Roman" w:cs="Times New Roman"/>
          <w:i/>
          <w:spacing w:val="-4"/>
          <w:sz w:val="28"/>
          <w:szCs w:val="28"/>
        </w:rPr>
        <w:t>(Số 09, đường Điện Biên Phủ, phường 5, Thành phố Vị Thanh, tỉnh Hậu Giang)</w:t>
      </w:r>
      <w:r w:rsidRPr="007A0775">
        <w:rPr>
          <w:rFonts w:ascii="Times New Roman" w:eastAsia="Calibri" w:hAnsi="Times New Roman" w:cs="Times New Roman"/>
          <w:sz w:val="28"/>
          <w:szCs w:val="28"/>
        </w:rPr>
        <w:t xml:space="preserve">. </w:t>
      </w:r>
    </w:p>
    <w:p w:rsidR="0026084A" w:rsidRPr="0026084A" w:rsidRDefault="0026084A" w:rsidP="007A0775">
      <w:pPr>
        <w:spacing w:before="120" w:after="120" w:line="240" w:lineRule="auto"/>
        <w:ind w:firstLine="720"/>
        <w:jc w:val="both"/>
        <w:rPr>
          <w:rFonts w:ascii="Times New Roman" w:eastAsia="Times New Roman" w:hAnsi="Times New Roman" w:cs="Times New Roman"/>
          <w:sz w:val="28"/>
          <w:szCs w:val="28"/>
        </w:rPr>
      </w:pPr>
      <w:bookmarkStart w:id="0" w:name="_GoBack"/>
      <w:bookmarkEnd w:id="0"/>
      <w:r w:rsidRPr="0026084A">
        <w:rPr>
          <w:rFonts w:ascii="Times New Roman" w:eastAsia="Times New Roman" w:hAnsi="Times New Roman" w:cs="Times New Roman"/>
          <w:b/>
          <w:bCs/>
          <w:i/>
          <w:iCs/>
          <w:sz w:val="28"/>
          <w:szCs w:val="28"/>
        </w:rPr>
        <w:t xml:space="preserve">5.3. Thành phần, số lượng hồ sơ: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sz w:val="28"/>
          <w:szCs w:val="28"/>
        </w:rPr>
        <w:t xml:space="preserve">a) Thành phần hồ sơ: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sz w:val="28"/>
          <w:szCs w:val="28"/>
        </w:rPr>
        <w:t xml:space="preserve">Tham khảo hồ sơ thẩm định giá theo quy định tại khoản 1 Điều 9 của Thông tư số 56/2014/TT-BTC ngày 28/4/2014 hướng dẫn thực hiện Nghị định số 177/2013/NĐ-CP ngày 14/11/2013 của Chính phủ quy định chi tiết và hướng dẫn thi hành một số điều của Luật giá, bao gồm: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sz w:val="28"/>
          <w:szCs w:val="28"/>
        </w:rPr>
        <w:t xml:space="preserve">- Công văn đề nghị định giá, điều chỉnh giá;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sz w:val="28"/>
          <w:szCs w:val="28"/>
        </w:rPr>
        <w:t xml:space="preserve">- Phương án giá;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sz w:val="28"/>
          <w:szCs w:val="28"/>
        </w:rPr>
        <w:t xml:space="preserve">- Văn bản tổng hợp ý kiến tham gia của các cơ quan liên quan, đính kèm bản sao ý kiến của các cơ quan theo quy định (nếu có);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sz w:val="28"/>
          <w:szCs w:val="28"/>
        </w:rPr>
        <w:lastRenderedPageBreak/>
        <w:t xml:space="preserve">- Văn bản thẩm định phương án giá của các cơ quan có chức năng thẩm định theo quy định;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sz w:val="28"/>
          <w:szCs w:val="28"/>
        </w:rPr>
        <w:t xml:space="preserve">- Các tài liệu khác có liên quan.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sz w:val="28"/>
          <w:szCs w:val="28"/>
        </w:rPr>
        <w:t xml:space="preserve">b) Số lượng hồ sơ: 01 (bộ)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b/>
          <w:bCs/>
          <w:i/>
          <w:iCs/>
          <w:sz w:val="28"/>
          <w:szCs w:val="28"/>
        </w:rPr>
        <w:t xml:space="preserve">5.4. Thời hạn giải quyết: </w:t>
      </w:r>
      <w:r w:rsidRPr="0026084A">
        <w:rPr>
          <w:rFonts w:ascii="Times New Roman" w:eastAsia="Times New Roman" w:hAnsi="Times New Roman" w:cs="Times New Roman"/>
          <w:sz w:val="28"/>
          <w:szCs w:val="28"/>
        </w:rPr>
        <w:t xml:space="preserve">Trong thời hạn 30 ngày kể từ ngày nhận đủ hồ sơ hợp lệ.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b/>
          <w:bCs/>
          <w:i/>
          <w:iCs/>
          <w:sz w:val="28"/>
          <w:szCs w:val="28"/>
        </w:rPr>
        <w:t xml:space="preserve">5.5. Đối tượng thực hiện thủ tục hành chính: </w:t>
      </w:r>
      <w:r w:rsidRPr="0026084A">
        <w:rPr>
          <w:rFonts w:ascii="Times New Roman" w:eastAsia="Times New Roman" w:hAnsi="Times New Roman" w:cs="Times New Roman"/>
          <w:sz w:val="28"/>
          <w:szCs w:val="28"/>
        </w:rPr>
        <w:t xml:space="preserve">Chủ đầu tư dự án xây dựng nhà ở xã hội.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b/>
          <w:bCs/>
          <w:i/>
          <w:iCs/>
          <w:sz w:val="28"/>
          <w:szCs w:val="28"/>
        </w:rPr>
        <w:t xml:space="preserve">5.6. Cơ quan thực hiện thủ tục hành chính: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sz w:val="28"/>
          <w:szCs w:val="28"/>
        </w:rPr>
        <w:t xml:space="preserve">- Cơ quan có thẩm quyền quyết định: UBND tỉnh Hậu Giang.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sz w:val="28"/>
          <w:szCs w:val="28"/>
        </w:rPr>
        <w:t xml:space="preserve">- Cơ quan thực hiện: Sở Xây dựng Hậu Giang.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b/>
          <w:bCs/>
          <w:i/>
          <w:iCs/>
          <w:sz w:val="28"/>
          <w:szCs w:val="28"/>
        </w:rPr>
        <w:t xml:space="preserve">5.7. Kết quả thực hiện thủ tục hành chính: </w:t>
      </w:r>
      <w:r w:rsidRPr="0026084A">
        <w:rPr>
          <w:rFonts w:ascii="Times New Roman" w:eastAsia="Times New Roman" w:hAnsi="Times New Roman" w:cs="Times New Roman"/>
          <w:sz w:val="28"/>
          <w:szCs w:val="28"/>
        </w:rPr>
        <w:t xml:space="preserve">Văn bản thông báo kết quả thẩm định.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b/>
          <w:bCs/>
          <w:i/>
          <w:iCs/>
          <w:sz w:val="28"/>
          <w:szCs w:val="28"/>
        </w:rPr>
        <w:t xml:space="preserve">5.8. Phí, lệ phí: </w:t>
      </w:r>
      <w:r w:rsidRPr="0026084A">
        <w:rPr>
          <w:rFonts w:ascii="Times New Roman" w:eastAsia="Times New Roman" w:hAnsi="Times New Roman" w:cs="Times New Roman"/>
          <w:sz w:val="28"/>
          <w:szCs w:val="28"/>
        </w:rPr>
        <w:t xml:space="preserve">Không có.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b/>
          <w:bCs/>
          <w:i/>
          <w:iCs/>
          <w:sz w:val="28"/>
          <w:szCs w:val="28"/>
        </w:rPr>
        <w:t xml:space="preserve">5.9. Tên mẫu đơn, mẫu tờ khai: </w:t>
      </w:r>
      <w:r w:rsidRPr="0026084A">
        <w:rPr>
          <w:rFonts w:ascii="Times New Roman" w:eastAsia="Times New Roman" w:hAnsi="Times New Roman" w:cs="Times New Roman"/>
          <w:sz w:val="28"/>
          <w:szCs w:val="28"/>
        </w:rPr>
        <w:t xml:space="preserve">Không có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b/>
          <w:bCs/>
          <w:i/>
          <w:iCs/>
          <w:sz w:val="28"/>
          <w:szCs w:val="28"/>
        </w:rPr>
        <w:t xml:space="preserve">5.10. Yêu cầu, điều kiện thực hiện thủ tục hành chính: </w:t>
      </w:r>
      <w:r w:rsidRPr="0026084A">
        <w:rPr>
          <w:rFonts w:ascii="Times New Roman" w:eastAsia="Times New Roman" w:hAnsi="Times New Roman" w:cs="Times New Roman"/>
          <w:sz w:val="28"/>
          <w:szCs w:val="28"/>
        </w:rPr>
        <w:t xml:space="preserve">Không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b/>
          <w:bCs/>
          <w:i/>
          <w:iCs/>
          <w:sz w:val="28"/>
          <w:szCs w:val="28"/>
        </w:rPr>
        <w:t xml:space="preserve">5.11. Căn cứ pháp lý của thủ tục hành chính: </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r w:rsidRPr="0026084A">
        <w:rPr>
          <w:rFonts w:ascii="Times New Roman" w:eastAsia="Times New Roman" w:hAnsi="Times New Roman" w:cs="Times New Roman"/>
          <w:sz w:val="28"/>
          <w:szCs w:val="28"/>
        </w:rPr>
        <w:t>- Nghị định số 100/2015/NĐ-CP ngày 20/10/2015 của Chính phủ về phát triển và quản lý nhà ở xã hội.</w:t>
      </w:r>
    </w:p>
    <w:p w:rsidR="0026084A" w:rsidRPr="0026084A" w:rsidRDefault="0026084A" w:rsidP="0026084A">
      <w:pPr>
        <w:autoSpaceDE w:val="0"/>
        <w:autoSpaceDN w:val="0"/>
        <w:adjustRightInd w:val="0"/>
        <w:spacing w:before="120" w:after="120" w:line="240" w:lineRule="auto"/>
        <w:ind w:firstLine="709"/>
        <w:jc w:val="both"/>
        <w:rPr>
          <w:rFonts w:ascii="Times New Roman" w:eastAsia="Times New Roman" w:hAnsi="Times New Roman" w:cs="Times New Roman"/>
          <w:sz w:val="24"/>
          <w:szCs w:val="24"/>
        </w:rPr>
      </w:pPr>
      <w:r w:rsidRPr="0026084A">
        <w:rPr>
          <w:rFonts w:ascii="Times New Roman" w:eastAsia="Times New Roman" w:hAnsi="Times New Roman" w:cs="Times New Roman"/>
          <w:sz w:val="28"/>
          <w:szCs w:val="28"/>
        </w:rPr>
        <w:t>- Thông tư số 20/2016/TT-BXD ngày 30/6/2016 của Bộ Xây dựng hướng dẫn thực hiện một số nội dung của Nghị định số 100/2015/NĐ-CP ngày 20/10/2015 của Chính phủ về phát triển và quản lý nhà ở xã hội.</w:t>
      </w:r>
    </w:p>
    <w:p w:rsidR="0026084A" w:rsidRPr="0026084A" w:rsidRDefault="0026084A" w:rsidP="0026084A">
      <w:pPr>
        <w:autoSpaceDE w:val="0"/>
        <w:autoSpaceDN w:val="0"/>
        <w:adjustRightInd w:val="0"/>
        <w:spacing w:before="120" w:after="120" w:line="240" w:lineRule="auto"/>
        <w:jc w:val="center"/>
        <w:rPr>
          <w:rFonts w:ascii="Times New Roman" w:eastAsia="Times New Roman" w:hAnsi="Times New Roman" w:cs="Times New Roman"/>
          <w:b/>
          <w:bCs/>
          <w:sz w:val="28"/>
          <w:szCs w:val="28"/>
        </w:rPr>
      </w:pPr>
      <w:r w:rsidRPr="0026084A">
        <w:rPr>
          <w:rFonts w:ascii="Times New Roman" w:eastAsia="Times New Roman" w:hAnsi="Times New Roman" w:cs="Times New Roman"/>
          <w:b/>
          <w:bCs/>
          <w:sz w:val="28"/>
          <w:szCs w:val="28"/>
        </w:rPr>
        <w:t xml:space="preserve">    </w:t>
      </w:r>
      <w:r w:rsidRPr="0026084A">
        <w:rPr>
          <w:rFonts w:ascii="Times New Roman" w:eastAsia="Times New Roman" w:hAnsi="Times New Roman" w:cs="Times New Roman"/>
          <w:b/>
          <w:bCs/>
          <w:sz w:val="28"/>
          <w:szCs w:val="28"/>
        </w:rPr>
        <w:tab/>
      </w:r>
    </w:p>
    <w:p w:rsidR="0026084A" w:rsidRPr="0026084A" w:rsidRDefault="0026084A" w:rsidP="0026084A">
      <w:pPr>
        <w:autoSpaceDE w:val="0"/>
        <w:autoSpaceDN w:val="0"/>
        <w:adjustRightInd w:val="0"/>
        <w:spacing w:before="120" w:after="120" w:line="240" w:lineRule="auto"/>
        <w:jc w:val="center"/>
        <w:rPr>
          <w:rFonts w:ascii="Times New Roman" w:eastAsia="Times New Roman" w:hAnsi="Times New Roman" w:cs="Times New Roman"/>
          <w:b/>
          <w:bCs/>
          <w:sz w:val="28"/>
          <w:szCs w:val="28"/>
        </w:rPr>
      </w:pPr>
    </w:p>
    <w:p w:rsidR="0026084A" w:rsidRPr="0026084A" w:rsidRDefault="0026084A" w:rsidP="0026084A">
      <w:pPr>
        <w:autoSpaceDE w:val="0"/>
        <w:autoSpaceDN w:val="0"/>
        <w:adjustRightInd w:val="0"/>
        <w:spacing w:before="120" w:after="120" w:line="240" w:lineRule="auto"/>
        <w:jc w:val="center"/>
        <w:rPr>
          <w:rFonts w:ascii="Times New Roman" w:eastAsia="Times New Roman" w:hAnsi="Times New Roman" w:cs="Times New Roman"/>
          <w:b/>
          <w:bCs/>
          <w:sz w:val="28"/>
          <w:szCs w:val="28"/>
        </w:rPr>
      </w:pPr>
    </w:p>
    <w:p w:rsidR="0026084A" w:rsidRPr="0026084A" w:rsidRDefault="0026084A" w:rsidP="0026084A">
      <w:pPr>
        <w:autoSpaceDE w:val="0"/>
        <w:autoSpaceDN w:val="0"/>
        <w:adjustRightInd w:val="0"/>
        <w:spacing w:before="120" w:after="120" w:line="240" w:lineRule="auto"/>
        <w:jc w:val="center"/>
        <w:rPr>
          <w:rFonts w:ascii="Times New Roman" w:eastAsia="Times New Roman" w:hAnsi="Times New Roman" w:cs="Times New Roman"/>
          <w:b/>
          <w:bCs/>
          <w:sz w:val="28"/>
          <w:szCs w:val="28"/>
        </w:rPr>
      </w:pPr>
    </w:p>
    <w:p w:rsidR="0026084A" w:rsidRPr="0026084A" w:rsidRDefault="0026084A" w:rsidP="0026084A">
      <w:pPr>
        <w:autoSpaceDE w:val="0"/>
        <w:autoSpaceDN w:val="0"/>
        <w:adjustRightInd w:val="0"/>
        <w:spacing w:before="120" w:after="120" w:line="240" w:lineRule="auto"/>
        <w:jc w:val="center"/>
        <w:rPr>
          <w:rFonts w:ascii="Times New Roman" w:eastAsia="Times New Roman" w:hAnsi="Times New Roman" w:cs="Times New Roman"/>
          <w:b/>
          <w:bCs/>
          <w:sz w:val="28"/>
          <w:szCs w:val="28"/>
        </w:rPr>
      </w:pPr>
    </w:p>
    <w:p w:rsidR="0026084A" w:rsidRPr="0026084A" w:rsidRDefault="0026084A" w:rsidP="0026084A">
      <w:pPr>
        <w:autoSpaceDE w:val="0"/>
        <w:autoSpaceDN w:val="0"/>
        <w:adjustRightInd w:val="0"/>
        <w:spacing w:before="120" w:after="120" w:line="240" w:lineRule="auto"/>
        <w:jc w:val="center"/>
        <w:rPr>
          <w:rFonts w:ascii="Times New Roman" w:eastAsia="Times New Roman" w:hAnsi="Times New Roman" w:cs="Times New Roman"/>
          <w:b/>
          <w:bCs/>
          <w:sz w:val="28"/>
          <w:szCs w:val="28"/>
        </w:rPr>
      </w:pPr>
    </w:p>
    <w:p w:rsidR="0026084A" w:rsidRPr="0026084A" w:rsidRDefault="0026084A" w:rsidP="0026084A">
      <w:pPr>
        <w:autoSpaceDE w:val="0"/>
        <w:autoSpaceDN w:val="0"/>
        <w:adjustRightInd w:val="0"/>
        <w:spacing w:before="120" w:after="120" w:line="240" w:lineRule="auto"/>
        <w:jc w:val="center"/>
        <w:rPr>
          <w:rFonts w:ascii="Times New Roman" w:eastAsia="Times New Roman" w:hAnsi="Times New Roman" w:cs="Times New Roman"/>
          <w:b/>
          <w:bCs/>
          <w:sz w:val="28"/>
          <w:szCs w:val="28"/>
        </w:rPr>
      </w:pPr>
    </w:p>
    <w:p w:rsidR="0026084A" w:rsidRPr="0026084A" w:rsidRDefault="0026084A" w:rsidP="0026084A">
      <w:pPr>
        <w:autoSpaceDE w:val="0"/>
        <w:autoSpaceDN w:val="0"/>
        <w:adjustRightInd w:val="0"/>
        <w:spacing w:before="120" w:after="120" w:line="240" w:lineRule="auto"/>
        <w:jc w:val="center"/>
        <w:rPr>
          <w:rFonts w:ascii="Times New Roman" w:eastAsia="Times New Roman" w:hAnsi="Times New Roman" w:cs="Times New Roman"/>
          <w:b/>
          <w:bCs/>
          <w:sz w:val="28"/>
          <w:szCs w:val="28"/>
        </w:rPr>
      </w:pPr>
    </w:p>
    <w:p w:rsidR="0026084A" w:rsidRPr="0026084A" w:rsidRDefault="0026084A" w:rsidP="0026084A">
      <w:pPr>
        <w:autoSpaceDE w:val="0"/>
        <w:autoSpaceDN w:val="0"/>
        <w:adjustRightInd w:val="0"/>
        <w:spacing w:before="120" w:after="120" w:line="240" w:lineRule="auto"/>
        <w:jc w:val="center"/>
        <w:rPr>
          <w:rFonts w:ascii="Times New Roman" w:eastAsia="Times New Roman" w:hAnsi="Times New Roman" w:cs="Times New Roman"/>
          <w:b/>
          <w:bCs/>
          <w:sz w:val="28"/>
          <w:szCs w:val="28"/>
        </w:rPr>
      </w:pPr>
    </w:p>
    <w:p w:rsidR="0026084A" w:rsidRPr="0026084A" w:rsidRDefault="0026084A" w:rsidP="0026084A">
      <w:pPr>
        <w:autoSpaceDE w:val="0"/>
        <w:autoSpaceDN w:val="0"/>
        <w:adjustRightInd w:val="0"/>
        <w:spacing w:before="120" w:after="120" w:line="240" w:lineRule="auto"/>
        <w:jc w:val="center"/>
        <w:rPr>
          <w:rFonts w:ascii="Times New Roman" w:eastAsia="Times New Roman" w:hAnsi="Times New Roman" w:cs="Times New Roman"/>
          <w:b/>
          <w:bCs/>
          <w:sz w:val="28"/>
          <w:szCs w:val="28"/>
        </w:rPr>
      </w:pPr>
    </w:p>
    <w:p w:rsidR="0026084A" w:rsidRPr="0026084A" w:rsidRDefault="0026084A" w:rsidP="0026084A">
      <w:pPr>
        <w:autoSpaceDE w:val="0"/>
        <w:autoSpaceDN w:val="0"/>
        <w:adjustRightInd w:val="0"/>
        <w:spacing w:before="120" w:after="120" w:line="240" w:lineRule="auto"/>
        <w:jc w:val="center"/>
        <w:rPr>
          <w:rFonts w:ascii="Times New Roman" w:eastAsia="Times New Roman" w:hAnsi="Times New Roman" w:cs="Times New Roman"/>
          <w:b/>
          <w:bCs/>
          <w:sz w:val="28"/>
          <w:szCs w:val="28"/>
        </w:rPr>
      </w:pPr>
    </w:p>
    <w:p w:rsidR="0026084A" w:rsidRPr="0026084A" w:rsidRDefault="0026084A" w:rsidP="0026084A">
      <w:pPr>
        <w:autoSpaceDE w:val="0"/>
        <w:autoSpaceDN w:val="0"/>
        <w:adjustRightInd w:val="0"/>
        <w:spacing w:before="120" w:after="120" w:line="240" w:lineRule="auto"/>
        <w:jc w:val="center"/>
        <w:rPr>
          <w:rFonts w:ascii="Times New Roman" w:eastAsia="Times New Roman" w:hAnsi="Times New Roman" w:cs="Times New Roman"/>
          <w:b/>
          <w:bCs/>
          <w:sz w:val="28"/>
          <w:szCs w:val="28"/>
        </w:rPr>
      </w:pPr>
    </w:p>
    <w:p w:rsidR="0026084A" w:rsidRPr="0026084A" w:rsidRDefault="0026084A" w:rsidP="0026084A">
      <w:pPr>
        <w:autoSpaceDE w:val="0"/>
        <w:autoSpaceDN w:val="0"/>
        <w:adjustRightInd w:val="0"/>
        <w:spacing w:before="120" w:after="120" w:line="240" w:lineRule="auto"/>
        <w:jc w:val="center"/>
        <w:rPr>
          <w:rFonts w:ascii="Times New Roman" w:eastAsia="Times New Roman" w:hAnsi="Times New Roman" w:cs="Times New Roman"/>
          <w:b/>
          <w:bCs/>
          <w:sz w:val="28"/>
          <w:szCs w:val="28"/>
        </w:rPr>
      </w:pPr>
    </w:p>
    <w:p w:rsidR="005E4420" w:rsidRDefault="005E4420"/>
    <w:sectPr w:rsidR="005E4420" w:rsidSect="002D4197">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7F3" w:rsidRDefault="00E527F3">
      <w:pPr>
        <w:spacing w:after="0" w:line="240" w:lineRule="auto"/>
      </w:pPr>
      <w:r>
        <w:separator/>
      </w:r>
    </w:p>
  </w:endnote>
  <w:endnote w:type="continuationSeparator" w:id="0">
    <w:p w:rsidR="00E527F3" w:rsidRDefault="00E5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141373"/>
      <w:docPartObj>
        <w:docPartGallery w:val="Page Numbers (Bottom of Page)"/>
        <w:docPartUnique/>
      </w:docPartObj>
    </w:sdtPr>
    <w:sdtEndPr>
      <w:rPr>
        <w:noProof/>
      </w:rPr>
    </w:sdtEndPr>
    <w:sdtContent>
      <w:p w:rsidR="002D4197" w:rsidRDefault="0026084A">
        <w:pPr>
          <w:pStyle w:val="Footer"/>
          <w:jc w:val="center"/>
        </w:pPr>
        <w:r>
          <w:fldChar w:fldCharType="begin"/>
        </w:r>
        <w:r>
          <w:instrText xml:space="preserve"> PAGE   \* MERGEFORMAT </w:instrText>
        </w:r>
        <w:r>
          <w:fldChar w:fldCharType="separate"/>
        </w:r>
        <w:r w:rsidR="007A0775">
          <w:rPr>
            <w:noProof/>
          </w:rPr>
          <w:t>2</w:t>
        </w:r>
        <w:r>
          <w:rPr>
            <w:noProof/>
          </w:rPr>
          <w:fldChar w:fldCharType="end"/>
        </w:r>
      </w:p>
    </w:sdtContent>
  </w:sdt>
  <w:p w:rsidR="002D4197" w:rsidRDefault="00E52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7F3" w:rsidRDefault="00E527F3">
      <w:pPr>
        <w:spacing w:after="0" w:line="240" w:lineRule="auto"/>
      </w:pPr>
      <w:r>
        <w:separator/>
      </w:r>
    </w:p>
  </w:footnote>
  <w:footnote w:type="continuationSeparator" w:id="0">
    <w:p w:rsidR="00E527F3" w:rsidRDefault="00E527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84A"/>
    <w:rsid w:val="0026084A"/>
    <w:rsid w:val="005E4420"/>
    <w:rsid w:val="007A0775"/>
    <w:rsid w:val="00E5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084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608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084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608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69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TRAN MINH TUAN</cp:lastModifiedBy>
  <cp:revision>2</cp:revision>
  <dcterms:created xsi:type="dcterms:W3CDTF">2018-06-05T07:25:00Z</dcterms:created>
  <dcterms:modified xsi:type="dcterms:W3CDTF">2020-08-13T02:22:00Z</dcterms:modified>
</cp:coreProperties>
</file>